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2F324" w14:textId="2D3AFDA7" w:rsidR="000943EE" w:rsidRDefault="000943EE" w:rsidP="000943EE">
      <w:pPr>
        <w:spacing w:after="0"/>
        <w:ind w:firstLine="238"/>
        <w:jc w:val="center"/>
        <w:rPr>
          <w:rFonts w:ascii="Times New Roman" w:hAnsi="Times New Roman" w:cs="Times New Roman"/>
          <w:b/>
          <w:sz w:val="18"/>
        </w:rPr>
      </w:pPr>
      <w:r w:rsidRPr="000943EE">
        <w:rPr>
          <w:rFonts w:ascii="Times New Roman" w:hAnsi="Times New Roman" w:cs="Times New Roman"/>
          <w:b/>
          <w:sz w:val="18"/>
        </w:rPr>
        <w:t xml:space="preserve">ANEXO </w:t>
      </w:r>
      <w:r w:rsidR="00630132">
        <w:rPr>
          <w:rFonts w:ascii="Times New Roman" w:hAnsi="Times New Roman" w:cs="Times New Roman"/>
          <w:b/>
          <w:sz w:val="18"/>
        </w:rPr>
        <w:t>6</w:t>
      </w:r>
    </w:p>
    <w:p w14:paraId="5043B007" w14:textId="77777777" w:rsidR="000943EE" w:rsidRPr="000943EE" w:rsidRDefault="000943EE" w:rsidP="000943EE">
      <w:pPr>
        <w:spacing w:after="0"/>
        <w:ind w:firstLine="238"/>
        <w:jc w:val="center"/>
        <w:rPr>
          <w:rFonts w:ascii="Times New Roman" w:hAnsi="Times New Roman" w:cs="Times New Roman"/>
          <w:b/>
          <w:sz w:val="18"/>
        </w:rPr>
      </w:pPr>
    </w:p>
    <w:p w14:paraId="5B13F122" w14:textId="125AA206" w:rsidR="00E16C53" w:rsidRPr="000943EE" w:rsidRDefault="000943EE" w:rsidP="000943EE">
      <w:pPr>
        <w:spacing w:after="0"/>
        <w:ind w:firstLine="238"/>
        <w:jc w:val="center"/>
        <w:rPr>
          <w:rFonts w:ascii="Times New Roman" w:hAnsi="Times New Roman" w:cs="Times New Roman"/>
          <w:i/>
          <w:sz w:val="18"/>
        </w:rPr>
      </w:pPr>
      <w:r w:rsidRPr="000943EE">
        <w:rPr>
          <w:rFonts w:ascii="Times New Roman" w:hAnsi="Times New Roman" w:cs="Times New Roman"/>
          <w:i/>
          <w:sz w:val="18"/>
        </w:rPr>
        <w:t>TABLA XVI</w:t>
      </w:r>
      <w:r w:rsidR="00532355">
        <w:rPr>
          <w:rFonts w:ascii="Times New Roman" w:hAnsi="Times New Roman" w:cs="Times New Roman"/>
          <w:i/>
          <w:sz w:val="18"/>
        </w:rPr>
        <w:t>I</w:t>
      </w:r>
      <w:r w:rsidR="00FF71B9">
        <w:rPr>
          <w:rFonts w:ascii="Times New Roman" w:hAnsi="Times New Roman" w:cs="Times New Roman"/>
          <w:i/>
          <w:sz w:val="18"/>
        </w:rPr>
        <w:t>.</w:t>
      </w:r>
    </w:p>
    <w:p w14:paraId="0D1CB1F1" w14:textId="22BC46C0" w:rsidR="000943EE" w:rsidRPr="000943EE" w:rsidRDefault="000943EE" w:rsidP="000943EE">
      <w:pPr>
        <w:spacing w:after="0"/>
        <w:ind w:firstLine="238"/>
        <w:jc w:val="center"/>
        <w:rPr>
          <w:rFonts w:ascii="Times New Roman" w:hAnsi="Times New Roman" w:cs="Times New Roman"/>
          <w:i/>
          <w:sz w:val="18"/>
        </w:rPr>
      </w:pPr>
      <w:r>
        <w:rPr>
          <w:rFonts w:ascii="Times New Roman" w:hAnsi="Times New Roman" w:cs="Times New Roman"/>
          <w:i/>
          <w:sz w:val="18"/>
        </w:rPr>
        <w:t>RESUMEN DE REVISIÓ</w:t>
      </w:r>
      <w:r w:rsidRPr="000943EE">
        <w:rPr>
          <w:rFonts w:ascii="Times New Roman" w:hAnsi="Times New Roman" w:cs="Times New Roman"/>
          <w:i/>
          <w:sz w:val="18"/>
        </w:rPr>
        <w:t>N DE LITERATURA</w:t>
      </w:r>
    </w:p>
    <w:p w14:paraId="4653E993" w14:textId="77777777" w:rsidR="000943EE" w:rsidRDefault="000943EE" w:rsidP="009C0147">
      <w:pPr>
        <w:spacing w:after="0"/>
        <w:ind w:firstLine="238"/>
        <w:jc w:val="both"/>
        <w:rPr>
          <w:rFonts w:ascii="Times New Roman" w:hAnsi="Times New Roman" w:cs="Times New Roman"/>
          <w:sz w:val="18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1838"/>
        <w:gridCol w:w="1134"/>
        <w:gridCol w:w="3260"/>
        <w:gridCol w:w="3119"/>
      </w:tblGrid>
      <w:tr w:rsidR="00236155" w14:paraId="7CBC1EBF" w14:textId="77777777" w:rsidTr="00564360">
        <w:trPr>
          <w:trHeight w:val="404"/>
        </w:trPr>
        <w:tc>
          <w:tcPr>
            <w:tcW w:w="1838" w:type="dxa"/>
            <w:vAlign w:val="center"/>
          </w:tcPr>
          <w:p w14:paraId="271692E6" w14:textId="5397FA53" w:rsidR="00564360" w:rsidRPr="00564360" w:rsidRDefault="00236155" w:rsidP="00564360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64360">
              <w:rPr>
                <w:rFonts w:ascii="Times New Roman" w:hAnsi="Times New Roman" w:cs="Times New Roman"/>
                <w:b/>
                <w:sz w:val="16"/>
                <w:szCs w:val="16"/>
              </w:rPr>
              <w:t>Autor</w:t>
            </w:r>
          </w:p>
        </w:tc>
        <w:tc>
          <w:tcPr>
            <w:tcW w:w="1134" w:type="dxa"/>
            <w:vAlign w:val="center"/>
          </w:tcPr>
          <w:p w14:paraId="280E4A76" w14:textId="77777777" w:rsidR="00236155" w:rsidRPr="00564360" w:rsidRDefault="00236155" w:rsidP="00564360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64360">
              <w:rPr>
                <w:rFonts w:ascii="Times New Roman" w:hAnsi="Times New Roman" w:cs="Times New Roman"/>
                <w:b/>
                <w:sz w:val="16"/>
                <w:szCs w:val="16"/>
              </w:rPr>
              <w:t>Año</w:t>
            </w:r>
          </w:p>
        </w:tc>
        <w:tc>
          <w:tcPr>
            <w:tcW w:w="3260" w:type="dxa"/>
            <w:vAlign w:val="center"/>
          </w:tcPr>
          <w:p w14:paraId="474B6097" w14:textId="77777777" w:rsidR="00236155" w:rsidRPr="00564360" w:rsidRDefault="00236155" w:rsidP="00564360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64360">
              <w:rPr>
                <w:rFonts w:ascii="Times New Roman" w:hAnsi="Times New Roman" w:cs="Times New Roman"/>
                <w:b/>
                <w:sz w:val="16"/>
                <w:szCs w:val="16"/>
              </w:rPr>
              <w:t>Objetivo</w:t>
            </w:r>
          </w:p>
        </w:tc>
        <w:tc>
          <w:tcPr>
            <w:tcW w:w="3119" w:type="dxa"/>
            <w:vAlign w:val="center"/>
          </w:tcPr>
          <w:p w14:paraId="31C564E3" w14:textId="77777777" w:rsidR="00236155" w:rsidRPr="00564360" w:rsidRDefault="00236155" w:rsidP="00564360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64360">
              <w:rPr>
                <w:rFonts w:ascii="Times New Roman" w:hAnsi="Times New Roman" w:cs="Times New Roman"/>
                <w:b/>
                <w:sz w:val="16"/>
                <w:szCs w:val="16"/>
              </w:rPr>
              <w:t>Aporte</w:t>
            </w:r>
          </w:p>
        </w:tc>
      </w:tr>
      <w:tr w:rsidR="00236155" w14:paraId="181240EC" w14:textId="77777777" w:rsidTr="00564360">
        <w:trPr>
          <w:trHeight w:val="1620"/>
        </w:trPr>
        <w:tc>
          <w:tcPr>
            <w:tcW w:w="1838" w:type="dxa"/>
            <w:vAlign w:val="center"/>
          </w:tcPr>
          <w:p w14:paraId="57F46DC3" w14:textId="77777777" w:rsidR="00236155" w:rsidRPr="00564360" w:rsidRDefault="000C54F7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64360">
              <w:rPr>
                <w:rFonts w:ascii="Times New Roman" w:hAnsi="Times New Roman" w:cs="Times New Roman"/>
                <w:sz w:val="16"/>
                <w:szCs w:val="16"/>
              </w:rPr>
              <w:t>Angelic</w:t>
            </w:r>
            <w:proofErr w:type="spellEnd"/>
            <w:r w:rsidRPr="005643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64360">
              <w:rPr>
                <w:rFonts w:ascii="Times New Roman" w:hAnsi="Times New Roman" w:cs="Times New Roman"/>
                <w:sz w:val="16"/>
                <w:szCs w:val="16"/>
              </w:rPr>
              <w:t>Juseth</w:t>
            </w:r>
            <w:proofErr w:type="spellEnd"/>
            <w:r w:rsidRPr="00564360">
              <w:rPr>
                <w:rFonts w:ascii="Times New Roman" w:hAnsi="Times New Roman" w:cs="Times New Roman"/>
                <w:sz w:val="16"/>
                <w:szCs w:val="16"/>
              </w:rPr>
              <w:t xml:space="preserve"> Castillo </w:t>
            </w:r>
            <w:proofErr w:type="spellStart"/>
            <w:r w:rsidR="00236155" w:rsidRPr="00564360">
              <w:rPr>
                <w:rFonts w:ascii="Times New Roman" w:hAnsi="Times New Roman" w:cs="Times New Roman"/>
                <w:sz w:val="16"/>
                <w:szCs w:val="16"/>
              </w:rPr>
              <w:t>Belalcazar</w:t>
            </w:r>
            <w:proofErr w:type="spellEnd"/>
            <w:r w:rsidR="00236155" w:rsidRPr="0056436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5723ACBA" w14:textId="77777777" w:rsidR="00236155" w:rsidRPr="00564360" w:rsidRDefault="00236155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</w:rPr>
              <w:t xml:space="preserve">Luz Mery </w:t>
            </w:r>
            <w:r w:rsidR="000C54F7" w:rsidRPr="00564360">
              <w:rPr>
                <w:rFonts w:ascii="Times New Roman" w:hAnsi="Times New Roman" w:cs="Times New Roman"/>
                <w:sz w:val="16"/>
                <w:szCs w:val="16"/>
              </w:rPr>
              <w:t>Obregón</w:t>
            </w:r>
            <w:r w:rsidRPr="00564360">
              <w:rPr>
                <w:rFonts w:ascii="Times New Roman" w:hAnsi="Times New Roman" w:cs="Times New Roman"/>
                <w:sz w:val="16"/>
                <w:szCs w:val="16"/>
              </w:rPr>
              <w:t xml:space="preserve"> Hurtado</w:t>
            </w:r>
          </w:p>
        </w:tc>
        <w:tc>
          <w:tcPr>
            <w:tcW w:w="1134" w:type="dxa"/>
            <w:vAlign w:val="center"/>
          </w:tcPr>
          <w:p w14:paraId="0EA64213" w14:textId="77777777" w:rsidR="00236155" w:rsidRPr="00564360" w:rsidRDefault="00236155" w:rsidP="0056436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3260" w:type="dxa"/>
            <w:vAlign w:val="center"/>
          </w:tcPr>
          <w:p w14:paraId="1B4198F6" w14:textId="77777777" w:rsidR="00236155" w:rsidRPr="00564360" w:rsidRDefault="00236155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</w:rPr>
              <w:t>Determinar la incidencia del Síndrome del Edificio Enfermo en la salud de los trabajadores de la Dirección Seccional de Impuestos y Aduanas de Buenaventura.</w:t>
            </w:r>
          </w:p>
        </w:tc>
        <w:tc>
          <w:tcPr>
            <w:tcW w:w="3119" w:type="dxa"/>
            <w:vAlign w:val="center"/>
          </w:tcPr>
          <w:p w14:paraId="3E95E8D6" w14:textId="73DFA5C0" w:rsidR="00236155" w:rsidRPr="00564360" w:rsidRDefault="00236155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</w:rPr>
              <w:t>Proporciona información acerca de la enfermedad del síndrome del edificio enfermo</w:t>
            </w:r>
            <w:r w:rsidR="000C54F7" w:rsidRPr="005643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64360">
              <w:rPr>
                <w:rFonts w:ascii="Times New Roman" w:hAnsi="Times New Roman" w:cs="Times New Roman"/>
                <w:sz w:val="16"/>
                <w:szCs w:val="16"/>
              </w:rPr>
              <w:t xml:space="preserve">mediante datos cualitativos y </w:t>
            </w:r>
            <w:r w:rsidR="000C54F7" w:rsidRPr="00564360">
              <w:rPr>
                <w:rFonts w:ascii="Times New Roman" w:hAnsi="Times New Roman" w:cs="Times New Roman"/>
                <w:sz w:val="16"/>
                <w:szCs w:val="16"/>
              </w:rPr>
              <w:t xml:space="preserve">cuantitativos, al igual </w:t>
            </w:r>
            <w:r w:rsidR="00564360" w:rsidRPr="00564360">
              <w:rPr>
                <w:rFonts w:ascii="Times New Roman" w:hAnsi="Times New Roman" w:cs="Times New Roman"/>
                <w:sz w:val="16"/>
                <w:szCs w:val="16"/>
              </w:rPr>
              <w:t>que las</w:t>
            </w:r>
            <w:r w:rsidRPr="00564360">
              <w:rPr>
                <w:rFonts w:ascii="Times New Roman" w:hAnsi="Times New Roman" w:cs="Times New Roman"/>
                <w:sz w:val="16"/>
                <w:szCs w:val="16"/>
              </w:rPr>
              <w:t xml:space="preserve"> consecuencias que conlleva dicha enfermedad.</w:t>
            </w:r>
          </w:p>
        </w:tc>
      </w:tr>
      <w:tr w:rsidR="00236155" w14:paraId="5767B54B" w14:textId="77777777" w:rsidTr="00564360">
        <w:trPr>
          <w:trHeight w:val="1424"/>
        </w:trPr>
        <w:tc>
          <w:tcPr>
            <w:tcW w:w="1838" w:type="dxa"/>
            <w:vAlign w:val="center"/>
          </w:tcPr>
          <w:p w14:paraId="0F5155C9" w14:textId="77777777" w:rsidR="00236155" w:rsidRPr="00564360" w:rsidRDefault="00236155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Instituto Colombiano de Normas Técnicas y Certificación</w:t>
            </w:r>
            <w:r w:rsidR="000C54F7"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.</w:t>
            </w:r>
          </w:p>
        </w:tc>
        <w:tc>
          <w:tcPr>
            <w:tcW w:w="1134" w:type="dxa"/>
            <w:vAlign w:val="center"/>
          </w:tcPr>
          <w:p w14:paraId="3E54AE67" w14:textId="77777777" w:rsidR="00236155" w:rsidRPr="00564360" w:rsidRDefault="00236155" w:rsidP="0056436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</w:rPr>
              <w:t>2003</w:t>
            </w:r>
          </w:p>
        </w:tc>
        <w:tc>
          <w:tcPr>
            <w:tcW w:w="3260" w:type="dxa"/>
            <w:vAlign w:val="center"/>
          </w:tcPr>
          <w:p w14:paraId="51B3699A" w14:textId="77777777" w:rsidR="00236155" w:rsidRPr="00564360" w:rsidRDefault="00236155" w:rsidP="00564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La norma rige para todos los espacios interiores o cerrados que la gente puede ocupar, excepto cuando otras normas y requisitos vigentes requieran mayor cantidad de ventilación que esta norma.</w:t>
            </w:r>
          </w:p>
        </w:tc>
        <w:tc>
          <w:tcPr>
            <w:tcW w:w="3119" w:type="dxa"/>
            <w:vAlign w:val="center"/>
          </w:tcPr>
          <w:p w14:paraId="49BF9FF1" w14:textId="7C0C50FA" w:rsidR="00564360" w:rsidRPr="00564360" w:rsidRDefault="000C54F7" w:rsidP="0056436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</w:rPr>
              <w:t xml:space="preserve">Contiene las normativas reglamentarias y requisitos que rige actualmente el confort térmico y la calidad en espacios interiores en el territorio </w:t>
            </w:r>
            <w:r w:rsidR="00564360" w:rsidRPr="00564360">
              <w:rPr>
                <w:rFonts w:ascii="Times New Roman" w:hAnsi="Times New Roman" w:cs="Times New Roman"/>
                <w:sz w:val="16"/>
                <w:szCs w:val="16"/>
              </w:rPr>
              <w:t>colombiano</w:t>
            </w:r>
            <w:r w:rsidRPr="0056436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36155" w:rsidRPr="00E030B6" w14:paraId="50D67182" w14:textId="77777777" w:rsidTr="00564360">
        <w:trPr>
          <w:trHeight w:val="1550"/>
        </w:trPr>
        <w:tc>
          <w:tcPr>
            <w:tcW w:w="1838" w:type="dxa"/>
            <w:vAlign w:val="center"/>
          </w:tcPr>
          <w:p w14:paraId="40A2E8CB" w14:textId="77777777" w:rsidR="00236155" w:rsidRPr="00564360" w:rsidRDefault="00236155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American Society of Heating, Refrigerating</w:t>
            </w:r>
          </w:p>
          <w:p w14:paraId="44C998D3" w14:textId="77777777" w:rsidR="00236155" w:rsidRPr="00564360" w:rsidRDefault="00236155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and Air-Conditioning Engineers, Inc.</w:t>
            </w:r>
          </w:p>
        </w:tc>
        <w:tc>
          <w:tcPr>
            <w:tcW w:w="1134" w:type="dxa"/>
            <w:vAlign w:val="center"/>
          </w:tcPr>
          <w:p w14:paraId="04F8B1C5" w14:textId="77777777" w:rsidR="00236155" w:rsidRPr="00564360" w:rsidRDefault="00236155" w:rsidP="0056436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2010</w:t>
            </w:r>
          </w:p>
        </w:tc>
        <w:tc>
          <w:tcPr>
            <w:tcW w:w="3260" w:type="dxa"/>
            <w:vAlign w:val="center"/>
          </w:tcPr>
          <w:p w14:paraId="53C8813F" w14:textId="77777777" w:rsidR="00236155" w:rsidRPr="00564360" w:rsidRDefault="00236155" w:rsidP="00564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El propósito de esta norma es especificar las combinaciones de factores ambientales térmicos interiores y personales factores que producirán condiciones ambientales térmicas aceptable para la mayoría de los ocupantes dentro del espacio.</w:t>
            </w:r>
          </w:p>
        </w:tc>
        <w:tc>
          <w:tcPr>
            <w:tcW w:w="3119" w:type="dxa"/>
            <w:vAlign w:val="center"/>
          </w:tcPr>
          <w:p w14:paraId="4E132DF2" w14:textId="77777777" w:rsidR="00236155" w:rsidRPr="00564360" w:rsidRDefault="00BB5416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Es la normativa estándar que rige a nivel global el confort térmico y calidad aire interior. Contiene definiciones, instrucciones, requisitos y procedimientos, establecidos por Standing Standard Project Committee (SSPC)</w:t>
            </w:r>
          </w:p>
        </w:tc>
      </w:tr>
      <w:tr w:rsidR="00236155" w:rsidRPr="00E030B6" w14:paraId="5BAA9B83" w14:textId="77777777" w:rsidTr="00564360">
        <w:trPr>
          <w:trHeight w:val="1899"/>
        </w:trPr>
        <w:tc>
          <w:tcPr>
            <w:tcW w:w="1838" w:type="dxa"/>
            <w:vAlign w:val="center"/>
          </w:tcPr>
          <w:p w14:paraId="4DCD64D6" w14:textId="77777777" w:rsidR="00236155" w:rsidRPr="00564360" w:rsidRDefault="00236155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64360">
              <w:rPr>
                <w:rFonts w:ascii="Times New Roman" w:hAnsi="Times New Roman" w:cs="Times New Roman"/>
                <w:sz w:val="16"/>
                <w:szCs w:val="16"/>
              </w:rPr>
              <w:t>Liva</w:t>
            </w:r>
            <w:proofErr w:type="spellEnd"/>
            <w:r w:rsidRPr="005643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64360">
              <w:rPr>
                <w:rFonts w:ascii="Times New Roman" w:hAnsi="Times New Roman" w:cs="Times New Roman"/>
                <w:sz w:val="16"/>
                <w:szCs w:val="16"/>
              </w:rPr>
              <w:t>Asere</w:t>
            </w:r>
            <w:proofErr w:type="spellEnd"/>
            <w:r w:rsidRPr="0056436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5BA25310" w14:textId="77777777" w:rsidR="00236155" w:rsidRPr="00564360" w:rsidRDefault="00236155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64360">
              <w:rPr>
                <w:rFonts w:ascii="Times New Roman" w:hAnsi="Times New Roman" w:cs="Times New Roman"/>
                <w:sz w:val="16"/>
                <w:szCs w:val="16"/>
              </w:rPr>
              <w:t>Toms</w:t>
            </w:r>
            <w:proofErr w:type="spellEnd"/>
            <w:r w:rsidRPr="005643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64360">
              <w:rPr>
                <w:rFonts w:ascii="Times New Roman" w:hAnsi="Times New Roman" w:cs="Times New Roman"/>
                <w:sz w:val="16"/>
                <w:szCs w:val="16"/>
              </w:rPr>
              <w:t>Mols</w:t>
            </w:r>
            <w:proofErr w:type="spellEnd"/>
            <w:r w:rsidRPr="0056436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7D59672C" w14:textId="77777777" w:rsidR="00236155" w:rsidRPr="00564360" w:rsidRDefault="00236155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proofErr w:type="spellStart"/>
            <w:r w:rsidRPr="00564360">
              <w:rPr>
                <w:rFonts w:ascii="Times New Roman" w:hAnsi="Times New Roman" w:cs="Times New Roman"/>
                <w:sz w:val="16"/>
                <w:szCs w:val="16"/>
              </w:rPr>
              <w:t>Andra</w:t>
            </w:r>
            <w:proofErr w:type="spellEnd"/>
            <w:r w:rsidRPr="005643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64360">
              <w:rPr>
                <w:rFonts w:ascii="Times New Roman" w:hAnsi="Times New Roman" w:cs="Times New Roman"/>
                <w:sz w:val="16"/>
                <w:szCs w:val="16"/>
              </w:rPr>
              <w:t>Blumberga</w:t>
            </w:r>
            <w:proofErr w:type="spellEnd"/>
          </w:p>
        </w:tc>
        <w:tc>
          <w:tcPr>
            <w:tcW w:w="1134" w:type="dxa"/>
            <w:vAlign w:val="center"/>
          </w:tcPr>
          <w:p w14:paraId="69D8056F" w14:textId="77777777" w:rsidR="00236155" w:rsidRPr="00564360" w:rsidRDefault="00236155" w:rsidP="0056436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2015</w:t>
            </w:r>
          </w:p>
        </w:tc>
        <w:tc>
          <w:tcPr>
            <w:tcW w:w="3260" w:type="dxa"/>
            <w:vAlign w:val="center"/>
          </w:tcPr>
          <w:p w14:paraId="1F55564F" w14:textId="77777777" w:rsidR="00236155" w:rsidRPr="00564360" w:rsidRDefault="00236155" w:rsidP="00564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El objetivo del presente trabajo es llamar la atención para encontrar el equilibrio entre la eficiencia energética, el confort térmico y calidad del aire interior para edificios del sector público.</w:t>
            </w:r>
          </w:p>
        </w:tc>
        <w:tc>
          <w:tcPr>
            <w:tcW w:w="3119" w:type="dxa"/>
            <w:vAlign w:val="center"/>
          </w:tcPr>
          <w:p w14:paraId="27DCC627" w14:textId="77777777" w:rsidR="00236155" w:rsidRPr="00564360" w:rsidRDefault="00BB5416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Se realizó una investigación de 5 edificios de instituciones educativas y 3 edificios municipales</w:t>
            </w:r>
            <w:r w:rsidR="00492DC8"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 xml:space="preserve"> recientemente renovados, en la </w:t>
            </w: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 xml:space="preserve">cual se </w:t>
            </w:r>
            <w:r w:rsidR="00492DC8"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describen</w:t>
            </w: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 xml:space="preserve"> el microclima y la calidad del aire interior </w:t>
            </w:r>
            <w:r w:rsidR="00492DC8"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a través de mediciones en el sistema de renovación de aire. También se modelan 4 escenarios de ventilación.</w:t>
            </w:r>
          </w:p>
        </w:tc>
      </w:tr>
      <w:tr w:rsidR="00236155" w:rsidRPr="00CF08BD" w14:paraId="2AA7F54A" w14:textId="77777777" w:rsidTr="00564360">
        <w:trPr>
          <w:trHeight w:val="1676"/>
        </w:trPr>
        <w:tc>
          <w:tcPr>
            <w:tcW w:w="1838" w:type="dxa"/>
            <w:vAlign w:val="center"/>
          </w:tcPr>
          <w:p w14:paraId="3B1CC629" w14:textId="77777777" w:rsidR="00236155" w:rsidRPr="00564360" w:rsidRDefault="00236155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V. Tasić,</w:t>
            </w:r>
          </w:p>
          <w:p w14:paraId="59EAD701" w14:textId="77777777" w:rsidR="00236155" w:rsidRPr="00564360" w:rsidRDefault="00236155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R. Kovačević,</w:t>
            </w:r>
          </w:p>
          <w:p w14:paraId="21471F7A" w14:textId="77777777" w:rsidR="00236155" w:rsidRPr="00564360" w:rsidRDefault="00236155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M. Cocić,</w:t>
            </w:r>
          </w:p>
          <w:p w14:paraId="408F4431" w14:textId="77777777" w:rsidR="00236155" w:rsidRPr="00564360" w:rsidRDefault="00236155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I. Lazović,</w:t>
            </w:r>
          </w:p>
          <w:p w14:paraId="5337E078" w14:textId="77777777" w:rsidR="00236155" w:rsidRPr="00564360" w:rsidRDefault="00236155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M. Živković,</w:t>
            </w:r>
          </w:p>
          <w:p w14:paraId="21AB3F2D" w14:textId="77777777" w:rsidR="00236155" w:rsidRPr="00564360" w:rsidRDefault="00236155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M. Jovašević-Stojanović</w:t>
            </w:r>
          </w:p>
        </w:tc>
        <w:tc>
          <w:tcPr>
            <w:tcW w:w="1134" w:type="dxa"/>
            <w:vAlign w:val="center"/>
          </w:tcPr>
          <w:p w14:paraId="41A3642F" w14:textId="77777777" w:rsidR="00236155" w:rsidRPr="00564360" w:rsidRDefault="00236155" w:rsidP="0056436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2017</w:t>
            </w:r>
          </w:p>
        </w:tc>
        <w:tc>
          <w:tcPr>
            <w:tcW w:w="3260" w:type="dxa"/>
            <w:vAlign w:val="center"/>
          </w:tcPr>
          <w:p w14:paraId="344739D0" w14:textId="77777777" w:rsidR="00236155" w:rsidRPr="00564360" w:rsidRDefault="00236155" w:rsidP="00564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Este trabajo presenta el resultado de un estudio en curso sobre la exposición de estudiantes y maestros a partículas suspendidas (PM 10 y PM 2.5 ) en aulas y oficinas seleccionadas de la Universidad de Belgrado, Facultad técnica en Bor, Serbia.</w:t>
            </w:r>
          </w:p>
        </w:tc>
        <w:tc>
          <w:tcPr>
            <w:tcW w:w="3119" w:type="dxa"/>
            <w:vAlign w:val="center"/>
          </w:tcPr>
          <w:p w14:paraId="2B81B921" w14:textId="77777777" w:rsidR="00236155" w:rsidRPr="00564360" w:rsidRDefault="00492DC8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Se evidencian resultados de un estudio en curso sobre la exposición de estudiantes y maestros a concentraciones de partículas suspendidas (TSP,PM10,PM2.5) en las aulas y oficinas de la universidad de Belgrade .</w:t>
            </w:r>
          </w:p>
        </w:tc>
      </w:tr>
      <w:tr w:rsidR="00236155" w:rsidRPr="00AC54C8" w14:paraId="0C879AFB" w14:textId="77777777" w:rsidTr="00564360">
        <w:trPr>
          <w:trHeight w:val="2207"/>
        </w:trPr>
        <w:tc>
          <w:tcPr>
            <w:tcW w:w="1838" w:type="dxa"/>
            <w:vAlign w:val="center"/>
          </w:tcPr>
          <w:p w14:paraId="0879EA9B" w14:textId="77777777" w:rsidR="00236155" w:rsidRPr="00564360" w:rsidRDefault="00236155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Barbara </w:t>
            </w:r>
            <w:proofErr w:type="spellStart"/>
            <w:r w:rsidRPr="005643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Kozielska</w:t>
            </w:r>
            <w:proofErr w:type="spellEnd"/>
            <w:r w:rsidRPr="005643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</w:p>
          <w:p w14:paraId="482A042A" w14:textId="77777777" w:rsidR="00236155" w:rsidRPr="00564360" w:rsidRDefault="00236155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Anna </w:t>
            </w:r>
            <w:proofErr w:type="spellStart"/>
            <w:r w:rsidRPr="005643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Mainka</w:t>
            </w:r>
            <w:proofErr w:type="spellEnd"/>
            <w:r w:rsidRPr="005643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</w:p>
          <w:p w14:paraId="0EEEA085" w14:textId="77777777" w:rsidR="00236155" w:rsidRPr="00564360" w:rsidRDefault="00236155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Magdalena </w:t>
            </w:r>
            <w:proofErr w:type="spellStart"/>
            <w:r w:rsidRPr="005643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Żak</w:t>
            </w:r>
            <w:proofErr w:type="spellEnd"/>
            <w:r w:rsidRPr="005643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</w:p>
          <w:p w14:paraId="7390B8F3" w14:textId="77777777" w:rsidR="00236155" w:rsidRPr="00564360" w:rsidRDefault="00236155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64360">
              <w:rPr>
                <w:rFonts w:ascii="Times New Roman" w:hAnsi="Times New Roman" w:cs="Times New Roman"/>
                <w:sz w:val="16"/>
                <w:szCs w:val="16"/>
              </w:rPr>
              <w:t>Dorota</w:t>
            </w:r>
            <w:proofErr w:type="spellEnd"/>
            <w:r w:rsidRPr="005643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64360">
              <w:rPr>
                <w:rFonts w:ascii="Times New Roman" w:hAnsi="Times New Roman" w:cs="Times New Roman"/>
                <w:sz w:val="16"/>
                <w:szCs w:val="16"/>
              </w:rPr>
              <w:t>Kaleta</w:t>
            </w:r>
            <w:proofErr w:type="spellEnd"/>
            <w:r w:rsidRPr="0056436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121429AE" w14:textId="77777777" w:rsidR="00236155" w:rsidRPr="00564360" w:rsidRDefault="00236155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</w:rPr>
              <w:t>Walter Mucha</w:t>
            </w:r>
          </w:p>
        </w:tc>
        <w:tc>
          <w:tcPr>
            <w:tcW w:w="1134" w:type="dxa"/>
            <w:vAlign w:val="center"/>
          </w:tcPr>
          <w:p w14:paraId="2A8FC52A" w14:textId="77777777" w:rsidR="00236155" w:rsidRPr="00564360" w:rsidRDefault="00236155" w:rsidP="0056436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2020</w:t>
            </w:r>
          </w:p>
        </w:tc>
        <w:tc>
          <w:tcPr>
            <w:tcW w:w="3260" w:type="dxa"/>
            <w:vAlign w:val="center"/>
          </w:tcPr>
          <w:p w14:paraId="688BA4A3" w14:textId="77777777" w:rsidR="00236155" w:rsidRPr="00564360" w:rsidRDefault="00236155" w:rsidP="00564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El objetivo del presente estudio es proporcionar datos sobre los niveles de concentración de contaminantes del aire interior y exterior en la región más contaminada de Polonia, que se puede utilizar para evaluar la exposición de los ciudadanos en la Alta Silesia región.</w:t>
            </w:r>
          </w:p>
        </w:tc>
        <w:tc>
          <w:tcPr>
            <w:tcW w:w="3119" w:type="dxa"/>
            <w:vAlign w:val="center"/>
          </w:tcPr>
          <w:p w14:paraId="5037ECE3" w14:textId="77777777" w:rsidR="00236155" w:rsidRPr="00564360" w:rsidRDefault="00492DC8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Se presentan resultados de mediciones efectuadas de</w:t>
            </w:r>
            <w:r w:rsidR="003D253F"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ntro y fuera de edificios residenciales de concentraciones de dióxido de carbono, dióxido de nitrógeno, material particulado. Las mediciones fueron hechas simultáneamente y recolectadas por métodos pasivos y determinados por cromatografía de gases.</w:t>
            </w:r>
          </w:p>
        </w:tc>
      </w:tr>
      <w:tr w:rsidR="00A348C1" w:rsidRPr="00AC54C8" w14:paraId="48B0AF65" w14:textId="77777777" w:rsidTr="00564360">
        <w:trPr>
          <w:trHeight w:val="1424"/>
        </w:trPr>
        <w:tc>
          <w:tcPr>
            <w:tcW w:w="1838" w:type="dxa"/>
            <w:vAlign w:val="center"/>
          </w:tcPr>
          <w:p w14:paraId="712C0FB8" w14:textId="77777777" w:rsidR="00A348C1" w:rsidRPr="00564360" w:rsidRDefault="00A348C1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L. Lan</w:t>
            </w:r>
          </w:p>
          <w:p w14:paraId="597ED8DA" w14:textId="6E7B055F" w:rsidR="00A348C1" w:rsidRPr="00564360" w:rsidRDefault="00A348C1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2520101" w14:textId="37B172F3" w:rsidR="00A348C1" w:rsidRPr="00564360" w:rsidRDefault="00A348C1" w:rsidP="0056436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20</w:t>
            </w:r>
            <w:r w:rsidR="00405ABF"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11</w:t>
            </w:r>
          </w:p>
        </w:tc>
        <w:tc>
          <w:tcPr>
            <w:tcW w:w="3260" w:type="dxa"/>
            <w:vAlign w:val="center"/>
          </w:tcPr>
          <w:p w14:paraId="4EFD6D16" w14:textId="7AC9E626" w:rsidR="00A348C1" w:rsidRPr="00564360" w:rsidRDefault="00405ABF" w:rsidP="00564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Muestra los efectos negativos que resultan al no tener confort térmico y como se relacionan con el síndrome del edificio enfermo</w:t>
            </w:r>
          </w:p>
        </w:tc>
        <w:tc>
          <w:tcPr>
            <w:tcW w:w="3119" w:type="dxa"/>
            <w:vAlign w:val="center"/>
          </w:tcPr>
          <w:p w14:paraId="6B4ECA38" w14:textId="3E8AD0DA" w:rsidR="00A348C1" w:rsidRPr="00564360" w:rsidRDefault="00405ABF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Se presentan resultados sobre como un ambiente inadecuado para trabajar puede reducir la productividad y ser posible generador de enfermedades</w:t>
            </w:r>
          </w:p>
        </w:tc>
      </w:tr>
      <w:tr w:rsidR="00A348C1" w:rsidRPr="00AC54C8" w14:paraId="27C263BB" w14:textId="77777777" w:rsidTr="00564360">
        <w:trPr>
          <w:trHeight w:val="1290"/>
        </w:trPr>
        <w:tc>
          <w:tcPr>
            <w:tcW w:w="1838" w:type="dxa"/>
            <w:vAlign w:val="center"/>
          </w:tcPr>
          <w:p w14:paraId="4435DDDE" w14:textId="77777777" w:rsidR="00A348C1" w:rsidRPr="00564360" w:rsidRDefault="00405ABF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5643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Wargocki</w:t>
            </w:r>
            <w:proofErr w:type="spellEnd"/>
            <w:r w:rsidRPr="005643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P.</w:t>
            </w:r>
          </w:p>
          <w:p w14:paraId="23CD8144" w14:textId="73BDE2E1" w:rsidR="00405ABF" w:rsidRPr="00564360" w:rsidRDefault="00405ABF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D.P. </w:t>
            </w:r>
            <w:proofErr w:type="spellStart"/>
            <w:r w:rsidRPr="005643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Wyon</w:t>
            </w:r>
            <w:proofErr w:type="spellEnd"/>
          </w:p>
        </w:tc>
        <w:tc>
          <w:tcPr>
            <w:tcW w:w="1134" w:type="dxa"/>
            <w:vAlign w:val="center"/>
          </w:tcPr>
          <w:p w14:paraId="1DE4C201" w14:textId="05D46A0A" w:rsidR="00A348C1" w:rsidRPr="00564360" w:rsidRDefault="00405ABF" w:rsidP="0056436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2007</w:t>
            </w:r>
          </w:p>
        </w:tc>
        <w:tc>
          <w:tcPr>
            <w:tcW w:w="3260" w:type="dxa"/>
            <w:vAlign w:val="center"/>
          </w:tcPr>
          <w:p w14:paraId="6BF371F5" w14:textId="7EFCFE5D" w:rsidR="00A348C1" w:rsidRPr="00564360" w:rsidRDefault="00405ABF" w:rsidP="00564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Muestra los efectos sobre la productividad en niños debido a las malas condiciones de temperatura</w:t>
            </w:r>
          </w:p>
        </w:tc>
        <w:tc>
          <w:tcPr>
            <w:tcW w:w="3119" w:type="dxa"/>
            <w:vAlign w:val="center"/>
          </w:tcPr>
          <w:p w14:paraId="7567BCC9" w14:textId="7B12F97F" w:rsidR="00A348C1" w:rsidRPr="00564360" w:rsidRDefault="00405ABF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Se muestran resultados sobre niños de primaria al estar expuestos a condiciones que no generan confort térmico y efectos de la ventilación en la productividad</w:t>
            </w:r>
          </w:p>
        </w:tc>
      </w:tr>
      <w:tr w:rsidR="00A348C1" w:rsidRPr="00AC54C8" w14:paraId="556A8DC4" w14:textId="77777777" w:rsidTr="00564360">
        <w:trPr>
          <w:trHeight w:val="1033"/>
        </w:trPr>
        <w:tc>
          <w:tcPr>
            <w:tcW w:w="1838" w:type="dxa"/>
            <w:vAlign w:val="center"/>
          </w:tcPr>
          <w:p w14:paraId="5B0C8C9A" w14:textId="77777777" w:rsidR="00A348C1" w:rsidRPr="00564360" w:rsidRDefault="00405ABF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 Lan</w:t>
            </w:r>
          </w:p>
          <w:p w14:paraId="70EFBF3D" w14:textId="77777777" w:rsidR="00405ABF" w:rsidRPr="00564360" w:rsidRDefault="00405ABF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5643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Wargocki</w:t>
            </w:r>
            <w:proofErr w:type="spellEnd"/>
            <w:r w:rsidRPr="005643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P</w:t>
            </w:r>
          </w:p>
          <w:p w14:paraId="0B83C981" w14:textId="66707436" w:rsidR="00405ABF" w:rsidRPr="00564360" w:rsidRDefault="00405ABF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Z Lian</w:t>
            </w:r>
          </w:p>
        </w:tc>
        <w:tc>
          <w:tcPr>
            <w:tcW w:w="1134" w:type="dxa"/>
            <w:vAlign w:val="center"/>
          </w:tcPr>
          <w:p w14:paraId="59D60445" w14:textId="01FE5469" w:rsidR="00A348C1" w:rsidRPr="00564360" w:rsidRDefault="00405ABF" w:rsidP="00564360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2011</w:t>
            </w:r>
          </w:p>
        </w:tc>
        <w:tc>
          <w:tcPr>
            <w:tcW w:w="3260" w:type="dxa"/>
            <w:vAlign w:val="center"/>
          </w:tcPr>
          <w:p w14:paraId="026EC3EE" w14:textId="278C5EE1" w:rsidR="00A348C1" w:rsidRPr="00564360" w:rsidRDefault="00405ABF" w:rsidP="00564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Muestra en cifras la perdida de productividad ocasionada por disconfort térmico</w:t>
            </w:r>
          </w:p>
        </w:tc>
        <w:tc>
          <w:tcPr>
            <w:tcW w:w="3119" w:type="dxa"/>
            <w:vAlign w:val="center"/>
          </w:tcPr>
          <w:p w14:paraId="6E5F3469" w14:textId="3E85E1DE" w:rsidR="00A348C1" w:rsidRPr="00564360" w:rsidRDefault="00405ABF" w:rsidP="00564360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s-MX"/>
              </w:rPr>
            </w:pPr>
            <w:r w:rsidRPr="00564360">
              <w:rPr>
                <w:rFonts w:ascii="Times New Roman" w:hAnsi="Times New Roman" w:cs="Times New Roman"/>
                <w:sz w:val="16"/>
                <w:szCs w:val="16"/>
                <w:lang w:val="es-MX"/>
              </w:rPr>
              <w:t>Se muestran cuantitativamente el efecto de condiciones que no generan confort térmico, en la productividad de las personas.</w:t>
            </w:r>
          </w:p>
        </w:tc>
      </w:tr>
    </w:tbl>
    <w:p w14:paraId="495152D8" w14:textId="77777777" w:rsidR="009C0147" w:rsidRPr="00AC54C8" w:rsidRDefault="009C0147" w:rsidP="00564360">
      <w:pPr>
        <w:spacing w:after="0"/>
        <w:ind w:firstLine="238"/>
        <w:jc w:val="both"/>
        <w:rPr>
          <w:rFonts w:ascii="Times New Roman" w:hAnsi="Times New Roman" w:cs="Times New Roman"/>
          <w:sz w:val="18"/>
          <w:lang w:val="es-MX"/>
        </w:rPr>
      </w:pPr>
    </w:p>
    <w:p w14:paraId="4FE40322" w14:textId="77777777" w:rsidR="009C0147" w:rsidRPr="00AC54C8" w:rsidRDefault="009C0147" w:rsidP="00564360">
      <w:pPr>
        <w:spacing w:after="0"/>
        <w:ind w:firstLine="238"/>
        <w:jc w:val="both"/>
        <w:rPr>
          <w:rFonts w:ascii="Times New Roman" w:hAnsi="Times New Roman" w:cs="Times New Roman"/>
          <w:sz w:val="18"/>
          <w:lang w:val="es-MX"/>
        </w:rPr>
      </w:pPr>
    </w:p>
    <w:p w14:paraId="795900F2" w14:textId="77777777" w:rsidR="009C0147" w:rsidRPr="00AC54C8" w:rsidRDefault="009C0147" w:rsidP="00564360">
      <w:pPr>
        <w:spacing w:after="0"/>
        <w:ind w:firstLine="238"/>
        <w:jc w:val="both"/>
        <w:rPr>
          <w:rFonts w:ascii="Times New Roman" w:hAnsi="Times New Roman" w:cs="Times New Roman"/>
          <w:sz w:val="18"/>
          <w:lang w:val="es-MX"/>
        </w:rPr>
      </w:pPr>
    </w:p>
    <w:p w14:paraId="66863CB2" w14:textId="77777777" w:rsidR="00CE6DA8" w:rsidRDefault="00CE6DA8" w:rsidP="00564360">
      <w:pPr>
        <w:jc w:val="both"/>
      </w:pPr>
    </w:p>
    <w:sectPr w:rsidR="00CE6DA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147"/>
    <w:rsid w:val="000943EE"/>
    <w:rsid w:val="000C54F7"/>
    <w:rsid w:val="00236155"/>
    <w:rsid w:val="00245085"/>
    <w:rsid w:val="003D24D3"/>
    <w:rsid w:val="003D253F"/>
    <w:rsid w:val="00405ABF"/>
    <w:rsid w:val="00492DC8"/>
    <w:rsid w:val="00532355"/>
    <w:rsid w:val="00564360"/>
    <w:rsid w:val="00622854"/>
    <w:rsid w:val="00630132"/>
    <w:rsid w:val="007366B5"/>
    <w:rsid w:val="008546D3"/>
    <w:rsid w:val="009C0147"/>
    <w:rsid w:val="009D5067"/>
    <w:rsid w:val="00A348C1"/>
    <w:rsid w:val="00AC54C8"/>
    <w:rsid w:val="00BB5416"/>
    <w:rsid w:val="00CE6DA8"/>
    <w:rsid w:val="00CF08BD"/>
    <w:rsid w:val="00D65BAC"/>
    <w:rsid w:val="00E030B6"/>
    <w:rsid w:val="00E16C53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13B41"/>
  <w15:chartTrackingRefBased/>
  <w15:docId w15:val="{8CA7ABE8-5352-4891-9FA5-2840B67BD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C0147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16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63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3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IEEE2006OfficeOnline.xsl" StyleName="IEEE"/>
</file>

<file path=customXml/itemProps1.xml><?xml version="1.0" encoding="utf-8"?>
<ds:datastoreItem xmlns:ds="http://schemas.openxmlformats.org/officeDocument/2006/customXml" ds:itemID="{3A8D9D87-ABF0-4B4E-93F5-3433F457B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615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Valeria Ruiz Romero</cp:lastModifiedBy>
  <cp:revision>6</cp:revision>
  <dcterms:created xsi:type="dcterms:W3CDTF">2020-06-07T14:35:00Z</dcterms:created>
  <dcterms:modified xsi:type="dcterms:W3CDTF">2020-12-09T19:06:00Z</dcterms:modified>
</cp:coreProperties>
</file>